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77B15FE3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3363/2</w:t>
      </w:r>
      <w:r w:rsidR="00FE5F93">
        <w:t>4</w:t>
      </w:r>
      <w:r w:rsidRPr="004C09AF">
        <w:t xml:space="preserve">hrsz-ú </w:t>
      </w:r>
    </w:p>
    <w:p w14:paraId="779140F8" w14:textId="6C178BED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FE5F93">
        <w:t>673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2438B8D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FE5F93">
        <w:t>5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47C1504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3002CB" w:rsidRPr="003002CB">
        <w:rPr>
          <w:color w:val="000000" w:themeColor="text1"/>
        </w:rPr>
        <w:t>9.</w:t>
      </w:r>
      <w:r w:rsidR="00FE5F93">
        <w:rPr>
          <w:color w:val="000000" w:themeColor="text1"/>
        </w:rPr>
        <w:t>4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3002CB" w:rsidRPr="003002CB">
        <w:rPr>
          <w:color w:val="000000" w:themeColor="text1"/>
        </w:rPr>
        <w:t>kilencmillió-</w:t>
      </w:r>
      <w:r w:rsidR="00FE5F93">
        <w:rPr>
          <w:color w:val="000000" w:themeColor="text1"/>
        </w:rPr>
        <w:t>négy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501C978B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3002CB">
        <w:t>9</w:t>
      </w:r>
      <w:r w:rsidR="00FE5F93">
        <w:t>4</w:t>
      </w:r>
      <w:r w:rsidR="003002CB">
        <w:t>0.000</w:t>
      </w:r>
      <w:r w:rsidRPr="004C09AF">
        <w:t xml:space="preserve"> Ft, azaz </w:t>
      </w:r>
      <w:r w:rsidR="003002CB">
        <w:t>kilencszáz-</w:t>
      </w:r>
      <w:r w:rsidR="00FE5F93">
        <w:t>negy</w:t>
      </w:r>
      <w:r w:rsidR="003002CB">
        <w:t>venezer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638A5A18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F32A9E">
        <w:rPr>
          <w:b/>
        </w:rPr>
        <w:t>augusztus</w:t>
      </w:r>
      <w:r>
        <w:rPr>
          <w:b/>
        </w:rPr>
        <w:t xml:space="preserve"> </w:t>
      </w:r>
      <w:r w:rsidR="00F32A9E">
        <w:rPr>
          <w:b/>
        </w:rPr>
        <w:t>14</w:t>
      </w:r>
      <w:r>
        <w:rPr>
          <w:b/>
        </w:rPr>
        <w:t>. (</w:t>
      </w:r>
      <w:r w:rsidR="00F32A9E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bookmarkStart w:id="1" w:name="_Hlk130372695"/>
      <w:r w:rsidRPr="004C09AF">
        <w:rPr>
          <w:b/>
        </w:rPr>
        <w:t>202</w:t>
      </w:r>
      <w:r>
        <w:rPr>
          <w:b/>
        </w:rPr>
        <w:t>3.</w:t>
      </w:r>
      <w:r w:rsidR="00F32A9E">
        <w:rPr>
          <w:b/>
        </w:rPr>
        <w:t>augusztus</w:t>
      </w:r>
      <w:r>
        <w:rPr>
          <w:b/>
        </w:rPr>
        <w:t xml:space="preserve"> </w:t>
      </w:r>
      <w:r w:rsidR="00F32A9E">
        <w:rPr>
          <w:b/>
        </w:rPr>
        <w:t>14</w:t>
      </w:r>
      <w:r>
        <w:rPr>
          <w:b/>
        </w:rPr>
        <w:t>. (</w:t>
      </w:r>
      <w:r w:rsidR="00F32A9E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 xml:space="preserve">óráig </w:t>
      </w:r>
      <w:bookmarkEnd w:id="1"/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776C85D1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3363/2</w:t>
      </w:r>
      <w:r w:rsidR="00FE5F93">
        <w:t>4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FE5F93">
        <w:t>5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789110CF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F32A9E">
        <w:rPr>
          <w:b/>
        </w:rPr>
        <w:t>május 22.</w:t>
      </w:r>
    </w:p>
    <w:p w14:paraId="0381C1F1" w14:textId="12321FD2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F32A9E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F32A9E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F32A9E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488EB8CC" w14:textId="726F2AB1" w:rsidR="005715D1" w:rsidRDefault="005715D1" w:rsidP="00F32A9E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F32A9E">
        <w:rPr>
          <w:b/>
          <w:lang w:eastAsia="en-US"/>
        </w:rPr>
        <w:t>augusztus</w:t>
      </w:r>
      <w:r w:rsidR="00F32A9E" w:rsidRPr="00297EB4">
        <w:rPr>
          <w:b/>
          <w:lang w:eastAsia="en-US"/>
        </w:rPr>
        <w:t xml:space="preserve"> </w:t>
      </w:r>
      <w:r w:rsidR="00F32A9E">
        <w:rPr>
          <w:b/>
          <w:lang w:eastAsia="en-US"/>
        </w:rPr>
        <w:t>15.</w:t>
      </w:r>
    </w:p>
    <w:p w14:paraId="157F07A6" w14:textId="77777777" w:rsidR="00F32A9E" w:rsidRPr="004C09AF" w:rsidRDefault="00F32A9E" w:rsidP="00F32A9E">
      <w:pPr>
        <w:tabs>
          <w:tab w:val="left" w:pos="5670"/>
        </w:tabs>
        <w:ind w:left="357"/>
        <w:contextualSpacing/>
        <w:rPr>
          <w:b/>
        </w:rPr>
      </w:pPr>
    </w:p>
    <w:p w14:paraId="26544C31" w14:textId="563D995D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DD674A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DD674A">
        <w:t>V</w:t>
      </w:r>
      <w:r w:rsidRPr="004C09AF">
        <w:t xml:space="preserve">. </w:t>
      </w:r>
      <w:r w:rsidR="00DD674A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FFD18CA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F830E7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73698FE9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F830E7">
        <w:rPr>
          <w:b/>
        </w:rPr>
        <w:t>május 22.</w:t>
      </w:r>
    </w:p>
    <w:p w14:paraId="5935375A" w14:textId="6DF0B808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F9612D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9088" w14:textId="77777777" w:rsidR="00067A30" w:rsidRDefault="00067A30" w:rsidP="00F9612D">
      <w:pPr>
        <w:spacing w:after="0" w:line="240" w:lineRule="auto"/>
      </w:pPr>
      <w:r>
        <w:separator/>
      </w:r>
    </w:p>
  </w:endnote>
  <w:endnote w:type="continuationSeparator" w:id="0">
    <w:p w14:paraId="15A31FF0" w14:textId="77777777" w:rsidR="00067A30" w:rsidRDefault="00067A30" w:rsidP="00F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60D5" w14:textId="77777777" w:rsidR="00067A30" w:rsidRDefault="00067A30" w:rsidP="00F9612D">
      <w:pPr>
        <w:spacing w:after="0" w:line="240" w:lineRule="auto"/>
      </w:pPr>
      <w:r>
        <w:separator/>
      </w:r>
    </w:p>
  </w:footnote>
  <w:footnote w:type="continuationSeparator" w:id="0">
    <w:p w14:paraId="33EAED14" w14:textId="77777777" w:rsidR="00067A30" w:rsidRDefault="00067A30" w:rsidP="00F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DE08" w14:textId="4E9FB2B1" w:rsidR="00F9612D" w:rsidRDefault="00F9612D">
    <w:pPr>
      <w:pStyle w:val="lfej"/>
    </w:pPr>
    <w:r>
      <w:t>PH/2687-4/2023.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067A30"/>
    <w:rsid w:val="003002CB"/>
    <w:rsid w:val="00541EDD"/>
    <w:rsid w:val="00550073"/>
    <w:rsid w:val="005715D1"/>
    <w:rsid w:val="006C0F46"/>
    <w:rsid w:val="00851E33"/>
    <w:rsid w:val="00A34044"/>
    <w:rsid w:val="00A3589C"/>
    <w:rsid w:val="00DC1D55"/>
    <w:rsid w:val="00DD674A"/>
    <w:rsid w:val="00F32A9E"/>
    <w:rsid w:val="00F830E7"/>
    <w:rsid w:val="00F9612D"/>
    <w:rsid w:val="00FD6FF8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12D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12D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2120</Words>
  <Characters>14630</Characters>
  <Application>Microsoft Office Word</Application>
  <DocSecurity>0</DocSecurity>
  <Lines>121</Lines>
  <Paragraphs>33</Paragraphs>
  <ScaleCrop>false</ScaleCrop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cp:lastPrinted>2023-03-31T09:20:00Z</cp:lastPrinted>
  <dcterms:created xsi:type="dcterms:W3CDTF">2023-03-31T08:44:00Z</dcterms:created>
  <dcterms:modified xsi:type="dcterms:W3CDTF">2023-05-22T11:21:00Z</dcterms:modified>
</cp:coreProperties>
</file>